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120" w:before="120" w:line="480" w:lineRule="auto"/>
        <w:contextualSpacing w:val="0"/>
        <w:jc w:val="center"/>
        <w:rPr>
          <w:rFonts w:ascii="Arial" w:cs="Arial" w:eastAsia="Arial" w:hAnsi="Arial"/>
          <w:b w:val="1"/>
          <w:color w:val="000000"/>
          <w:sz w:val="56"/>
          <w:szCs w:val="5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56"/>
          <w:szCs w:val="56"/>
          <w:rtl w:val="0"/>
        </w:rPr>
        <w:t xml:space="preserve">Invitation </w:t>
      </w:r>
    </w:p>
    <w:p w:rsidR="00000000" w:rsidDel="00000000" w:rsidP="00000000" w:rsidRDefault="00000000" w:rsidRPr="00000000">
      <w:pPr>
        <w:pBdr/>
        <w:spacing w:after="120" w:before="120" w:line="480" w:lineRule="auto"/>
        <w:contextualSpacing w:val="0"/>
        <w:jc w:val="center"/>
        <w:rPr>
          <w:rFonts w:ascii="Arial" w:cs="Arial" w:eastAsia="Arial" w:hAnsi="Arial"/>
          <w:b w:val="1"/>
          <w:color w:val="000000"/>
          <w:sz w:val="56"/>
          <w:szCs w:val="5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56"/>
          <w:szCs w:val="56"/>
          <w:rtl w:val="0"/>
        </w:rPr>
        <w:t xml:space="preserve">for</w:t>
      </w:r>
    </w:p>
    <w:p w:rsidR="00000000" w:rsidDel="00000000" w:rsidP="00000000" w:rsidRDefault="00000000" w:rsidRPr="00000000">
      <w:pPr>
        <w:pBdr/>
        <w:spacing w:after="120" w:before="120" w:line="480" w:lineRule="auto"/>
        <w:contextualSpacing w:val="0"/>
        <w:jc w:val="center"/>
        <w:rPr>
          <w:rFonts w:ascii="Arial" w:cs="Arial" w:eastAsia="Arial" w:hAnsi="Arial"/>
          <w:b w:val="1"/>
          <w:color w:val="000000"/>
          <w:sz w:val="56"/>
          <w:szCs w:val="5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56"/>
          <w:szCs w:val="56"/>
          <w:rtl w:val="0"/>
        </w:rPr>
        <w:t xml:space="preserve">Bid And Contract</w:t>
      </w:r>
    </w:p>
    <w:p w:rsidR="00000000" w:rsidDel="00000000" w:rsidP="00000000" w:rsidRDefault="00000000" w:rsidRPr="00000000">
      <w:pPr>
        <w:pBdr/>
        <w:spacing w:after="120" w:before="12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  <w:rtl w:val="0"/>
        </w:rPr>
        <w:t xml:space="preserve">Nonprofit Tennessee Public Charter 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Liability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  <w:rtl w:val="0"/>
        </w:rPr>
        <w:t xml:space="preserve"> Plan and Policy Provider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12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drawing>
          <wp:inline distB="0" distT="0" distL="0" distR="0">
            <wp:extent cx="3086100" cy="2870200"/>
            <wp:effectExtent b="0" l="0" r="0" t="0"/>
            <wp:docPr descr=":\IVY\IVY_Circle_RGB.png" id="1" name="image2.png"/>
            <a:graphic>
              <a:graphicData uri="http://schemas.openxmlformats.org/drawingml/2006/picture">
                <pic:pic>
                  <pic:nvPicPr>
                    <pic:cNvPr descr=":\IVY\IVY_Circle_RGB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87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000000"/>
          <w:sz w:val="52"/>
          <w:szCs w:val="5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120" w:line="48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  <w:rtl w:val="0"/>
        </w:rPr>
        <w:t xml:space="preserve">Ivy Academy Chattanooga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00" w:before="10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In accordance with Federal law, this institution is prohibited from discriminating on the basis of race, color, national origin or religion.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00" w:before="100" w:lineRule="auto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Ivy Academy is seeking bids for its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liability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insurance policy for the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school year. </w:t>
      </w:r>
    </w:p>
    <w:p w:rsidR="00000000" w:rsidDel="00000000" w:rsidP="00000000" w:rsidRDefault="00000000" w:rsidRPr="00000000">
      <w:pPr>
        <w:pBdr/>
        <w:spacing w:after="100" w:before="10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00" w:before="10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are seeking the following liability coverage plans: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00" w:before="10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Directors and Officers Liability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00" w:before="10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Workers Compensation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00" w:before="10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Commercial Educational Package including property, crime, other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consideration, bids must include best options and competitive rates. We are particularly looking for a plans that can offer: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Fast and quality customer service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Best value for taxpayer’s dollars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Verifiable reputation of reliability and integrity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Experience in servicing students in a public education setting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00" w:before="10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Completed bids should be submitted in writing and mailed or hand delivered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0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Ivy Academ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Liability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Insurance Bids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0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c/o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Holly Slater, Director of Operations</w:t>
      </w:r>
    </w:p>
    <w:p w:rsidR="00000000" w:rsidDel="00000000" w:rsidP="00000000" w:rsidRDefault="00000000" w:rsidRPr="00000000">
      <w:pPr>
        <w:pBdr/>
        <w:spacing w:before="10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8520 Dayton Pike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0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Soddy-Daisy, TN 37379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0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Bids should be submitted between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May 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May 30,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0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winning bidder will be contacted 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June 14, 2017. </w:t>
      </w:r>
    </w:p>
    <w:p w:rsidR="00000000" w:rsidDel="00000000" w:rsidP="00000000" w:rsidRDefault="00000000" w:rsidRPr="00000000">
      <w:pPr>
        <w:pBdr/>
        <w:spacing w:before="10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 further information, you may email: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hslater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@ivyacademychattanooga.com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